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r w:rsidR="00A22353" w:rsidRPr="00A22353">
        <w:rPr>
          <w:rFonts w:cstheme="minorHAnsi"/>
          <w:kern w:val="3"/>
          <w:sz w:val="24"/>
          <w:szCs w:val="24"/>
        </w:rPr>
        <w:t>HANNO CZ s.r.o., se sídlem náměstí Republiky 138/24, 301 00 Plzeň IČ: 28112954</w:t>
      </w:r>
      <w:r w:rsidR="00A22353">
        <w:rPr>
          <w:rFonts w:cstheme="minorHAnsi"/>
          <w:kern w:val="3"/>
          <w:sz w:val="24"/>
          <w:szCs w:val="24"/>
        </w:rPr>
        <w:br/>
      </w:r>
      <w:bookmarkStart w:id="0" w:name="_GoBack"/>
      <w:bookmarkEnd w:id="0"/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7B5FD8"/>
    <w:rsid w:val="00A22353"/>
    <w:rsid w:val="00CB6E75"/>
    <w:rsid w:val="00E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D14E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Pepa</cp:lastModifiedBy>
  <cp:revision>2</cp:revision>
  <dcterms:created xsi:type="dcterms:W3CDTF">2025-02-11T15:45:00Z</dcterms:created>
  <dcterms:modified xsi:type="dcterms:W3CDTF">2025-02-11T15:45:00Z</dcterms:modified>
</cp:coreProperties>
</file>